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5" w:type="dxa"/>
        <w:tblInd w:w="-312" w:type="dxa"/>
        <w:tblLook w:val="01E0"/>
      </w:tblPr>
      <w:tblGrid>
        <w:gridCol w:w="4673"/>
        <w:gridCol w:w="5812"/>
      </w:tblGrid>
      <w:tr w:rsidR="00BB6A11" w:rsidRPr="005057C5" w:rsidTr="00643E01">
        <w:trPr>
          <w:trHeight w:val="1136"/>
        </w:trPr>
        <w:tc>
          <w:tcPr>
            <w:tcW w:w="4673" w:type="dxa"/>
          </w:tcPr>
          <w:p w:rsidR="00BB6A11" w:rsidRPr="005057C5" w:rsidRDefault="00BB6A11" w:rsidP="00DD2208">
            <w:pPr>
              <w:outlineLvl w:val="1"/>
              <w:rPr>
                <w:color w:val="000000"/>
              </w:rPr>
            </w:pPr>
            <w:r w:rsidRPr="005057C5">
              <w:rPr>
                <w:color w:val="000000"/>
              </w:rPr>
              <w:t>TỔNG CÔNG TY CP VINACONEX</w:t>
            </w:r>
          </w:p>
          <w:p w:rsidR="00BB6A11" w:rsidRPr="00643E01" w:rsidRDefault="00BB6A11" w:rsidP="00DD2208">
            <w:pPr>
              <w:outlineLvl w:val="1"/>
              <w:rPr>
                <w:color w:val="000000"/>
              </w:rPr>
            </w:pPr>
            <w:r w:rsidRPr="00643E01">
              <w:rPr>
                <w:color w:val="000000"/>
              </w:rPr>
              <w:t>CÔNG TY CP VINACONEX SÀI GÒN</w:t>
            </w:r>
          </w:p>
          <w:p w:rsidR="00BB6A11" w:rsidRPr="005057C5" w:rsidRDefault="00CC4BDB" w:rsidP="00DD2208">
            <w:pPr>
              <w:outlineLvl w:val="1"/>
              <w:rPr>
                <w:b w:val="0"/>
                <w:color w:val="000000"/>
              </w:rPr>
            </w:pPr>
            <w:r>
              <w:rPr>
                <w:b w:val="0"/>
                <w:color w:val="000000"/>
              </w:rPr>
              <w:t>--------------</w:t>
            </w:r>
            <w:r w:rsidR="00BB6A11" w:rsidRPr="005057C5">
              <w:rPr>
                <w:b w:val="0"/>
                <w:color w:val="000000"/>
              </w:rPr>
              <w:t>------------------</w:t>
            </w:r>
          </w:p>
        </w:tc>
        <w:tc>
          <w:tcPr>
            <w:tcW w:w="5812" w:type="dxa"/>
          </w:tcPr>
          <w:p w:rsidR="00BB6A11" w:rsidRPr="00643E01" w:rsidRDefault="00643E01" w:rsidP="00643E01">
            <w:pPr>
              <w:jc w:val="both"/>
              <w:outlineLvl w:val="1"/>
              <w:rPr>
                <w:color w:val="000000"/>
              </w:rPr>
            </w:pPr>
            <w:r>
              <w:rPr>
                <w:b w:val="0"/>
                <w:color w:val="000000"/>
              </w:rPr>
              <w:t xml:space="preserve"> </w:t>
            </w:r>
            <w:r w:rsidR="00BB6A11" w:rsidRPr="00643E01">
              <w:rPr>
                <w:color w:val="000000"/>
              </w:rPr>
              <w:t>CỘNG HÒA XÃ HỘI CHỦ NGHĨA VIỆT NAM</w:t>
            </w:r>
          </w:p>
          <w:p w:rsidR="00BB6A11" w:rsidRPr="00643E01" w:rsidRDefault="00643E01" w:rsidP="00DD2208">
            <w:pPr>
              <w:tabs>
                <w:tab w:val="left" w:pos="-720"/>
              </w:tabs>
              <w:suppressAutoHyphens/>
              <w:rPr>
                <w:color w:val="000000"/>
              </w:rPr>
            </w:pPr>
            <w:r>
              <w:rPr>
                <w:color w:val="000000"/>
              </w:rPr>
              <w:t xml:space="preserve">   </w:t>
            </w:r>
            <w:r w:rsidR="00BB6A11" w:rsidRPr="00643E01">
              <w:rPr>
                <w:color w:val="000000"/>
              </w:rPr>
              <w:t>Độc lập - Tự do - Hạnh phúc</w:t>
            </w:r>
          </w:p>
          <w:p w:rsidR="00BB6A11" w:rsidRPr="005057C5" w:rsidRDefault="00BB6A11" w:rsidP="00CC4BDB">
            <w:pPr>
              <w:tabs>
                <w:tab w:val="left" w:pos="-720"/>
              </w:tabs>
              <w:suppressAutoHyphens/>
              <w:rPr>
                <w:b w:val="0"/>
                <w:color w:val="000000"/>
              </w:rPr>
            </w:pPr>
            <w:r>
              <w:rPr>
                <w:b w:val="0"/>
                <w:color w:val="000000"/>
              </w:rPr>
              <w:t xml:space="preserve">  </w:t>
            </w:r>
            <w:r w:rsidRPr="005057C5">
              <w:rPr>
                <w:b w:val="0"/>
                <w:color w:val="000000"/>
              </w:rPr>
              <w:t>-----------------------</w:t>
            </w:r>
          </w:p>
        </w:tc>
      </w:tr>
      <w:tr w:rsidR="00BB6A11" w:rsidRPr="005057C5" w:rsidTr="00643E01">
        <w:trPr>
          <w:trHeight w:val="693"/>
        </w:trPr>
        <w:tc>
          <w:tcPr>
            <w:tcW w:w="4673" w:type="dxa"/>
          </w:tcPr>
          <w:p w:rsidR="00BB6A11" w:rsidRDefault="00BB6A11" w:rsidP="00DD2208">
            <w:pPr>
              <w:outlineLvl w:val="1"/>
              <w:rPr>
                <w:b w:val="0"/>
                <w:color w:val="000000"/>
              </w:rPr>
            </w:pPr>
            <w:r w:rsidRPr="005057C5">
              <w:rPr>
                <w:b w:val="0"/>
                <w:color w:val="000000"/>
              </w:rPr>
              <w:t xml:space="preserve">Số:     </w:t>
            </w:r>
            <w:r>
              <w:rPr>
                <w:b w:val="0"/>
                <w:color w:val="000000"/>
              </w:rPr>
              <w:t xml:space="preserve">   TTr/201</w:t>
            </w:r>
            <w:r w:rsidR="00CC4BDB">
              <w:rPr>
                <w:b w:val="0"/>
                <w:color w:val="000000"/>
              </w:rPr>
              <w:t>7</w:t>
            </w:r>
            <w:r w:rsidRPr="005057C5">
              <w:rPr>
                <w:b w:val="0"/>
                <w:color w:val="000000"/>
              </w:rPr>
              <w:t>/VCSG-</w:t>
            </w:r>
            <w:r>
              <w:rPr>
                <w:b w:val="0"/>
                <w:color w:val="000000"/>
              </w:rPr>
              <w:t>HĐQT</w:t>
            </w:r>
          </w:p>
          <w:p w:rsidR="00BB6A11" w:rsidRPr="005057C5" w:rsidRDefault="00BB6A11" w:rsidP="00DD2208">
            <w:pPr>
              <w:outlineLvl w:val="1"/>
              <w:rPr>
                <w:b w:val="0"/>
                <w:color w:val="000000"/>
              </w:rPr>
            </w:pPr>
          </w:p>
        </w:tc>
        <w:tc>
          <w:tcPr>
            <w:tcW w:w="5812" w:type="dxa"/>
          </w:tcPr>
          <w:p w:rsidR="00BB6A11" w:rsidRPr="00DB0D40" w:rsidRDefault="00BB6A11" w:rsidP="0038276F">
            <w:pPr>
              <w:jc w:val="right"/>
              <w:outlineLvl w:val="1"/>
              <w:rPr>
                <w:b w:val="0"/>
                <w:i/>
                <w:color w:val="FF0000"/>
              </w:rPr>
            </w:pPr>
            <w:r>
              <w:rPr>
                <w:i/>
                <w:color w:val="FF0000"/>
              </w:rPr>
              <w:t xml:space="preserve"> </w:t>
            </w:r>
            <w:r w:rsidRPr="00DB0D40">
              <w:rPr>
                <w:b w:val="0"/>
                <w:i/>
                <w:color w:val="FF0000"/>
              </w:rPr>
              <w:t xml:space="preserve">Tp. HCM, ngày </w:t>
            </w:r>
            <w:r w:rsidR="0038276F">
              <w:rPr>
                <w:b w:val="0"/>
                <w:i/>
                <w:color w:val="FF0000"/>
              </w:rPr>
              <w:t>20</w:t>
            </w:r>
            <w:r w:rsidRPr="00DB0D40">
              <w:rPr>
                <w:b w:val="0"/>
                <w:i/>
                <w:color w:val="FF0000"/>
              </w:rPr>
              <w:t xml:space="preserve"> tháng 03  năm 201</w:t>
            </w:r>
            <w:r w:rsidR="00CC4BDB">
              <w:rPr>
                <w:b w:val="0"/>
                <w:i/>
                <w:color w:val="FF0000"/>
              </w:rPr>
              <w:t>7</w:t>
            </w:r>
          </w:p>
        </w:tc>
      </w:tr>
    </w:tbl>
    <w:p w:rsidR="00BB6A11" w:rsidRPr="00F064F8" w:rsidRDefault="00BB6A11" w:rsidP="00CC4BDB">
      <w:pPr>
        <w:spacing w:line="240" w:lineRule="auto"/>
        <w:rPr>
          <w:sz w:val="32"/>
          <w:szCs w:val="32"/>
        </w:rPr>
      </w:pPr>
      <w:r w:rsidRPr="00F064F8">
        <w:rPr>
          <w:sz w:val="32"/>
          <w:szCs w:val="32"/>
        </w:rPr>
        <w:t>TỜ TRÌNH</w:t>
      </w:r>
    </w:p>
    <w:p w:rsidR="00BB6A11" w:rsidRDefault="00BB6A11" w:rsidP="00CC4BDB">
      <w:pPr>
        <w:spacing w:line="240" w:lineRule="auto"/>
        <w:rPr>
          <w:b w:val="0"/>
          <w:i/>
        </w:rPr>
      </w:pPr>
      <w:r w:rsidRPr="00F064F8">
        <w:rPr>
          <w:b w:val="0"/>
          <w:i/>
        </w:rPr>
        <w:t xml:space="preserve">“V/v: </w:t>
      </w:r>
      <w:r>
        <w:rPr>
          <w:b w:val="0"/>
          <w:i/>
        </w:rPr>
        <w:t>Thông qua nội dung s</w:t>
      </w:r>
      <w:r w:rsidRPr="00F064F8">
        <w:rPr>
          <w:b w:val="0"/>
          <w:i/>
        </w:rPr>
        <w:t>ửa đổi bổ sung Điều lệ</w:t>
      </w:r>
    </w:p>
    <w:p w:rsidR="00BB6A11" w:rsidRDefault="00BB6A11" w:rsidP="00CC4BDB">
      <w:pPr>
        <w:spacing w:line="240" w:lineRule="auto"/>
        <w:rPr>
          <w:b w:val="0"/>
          <w:i/>
        </w:rPr>
      </w:pPr>
      <w:r w:rsidRPr="00F064F8">
        <w:rPr>
          <w:b w:val="0"/>
          <w:i/>
        </w:rPr>
        <w:t>tổ chức và hoạt động của Công ty CP Vinaconex Sài Gòn”</w:t>
      </w:r>
    </w:p>
    <w:p w:rsidR="00BB6A11" w:rsidRDefault="00BB6A11" w:rsidP="00BB6A11">
      <w:pPr>
        <w:jc w:val="both"/>
        <w:rPr>
          <w:b w:val="0"/>
          <w:i/>
        </w:rPr>
      </w:pPr>
    </w:p>
    <w:p w:rsidR="00BB6A11" w:rsidRPr="00DB0D40" w:rsidRDefault="00BB6A11" w:rsidP="00BB6A11">
      <w:pPr>
        <w:rPr>
          <w:sz w:val="30"/>
          <w:szCs w:val="30"/>
        </w:rPr>
      </w:pPr>
      <w:r w:rsidRPr="00BB6A11">
        <w:rPr>
          <w:b w:val="0"/>
          <w:i/>
          <w:sz w:val="30"/>
          <w:szCs w:val="30"/>
          <w:u w:val="single"/>
        </w:rPr>
        <w:t>Kính gửi:</w:t>
      </w:r>
      <w:r w:rsidRPr="00DB0D40">
        <w:rPr>
          <w:sz w:val="30"/>
          <w:szCs w:val="30"/>
        </w:rPr>
        <w:t xml:space="preserve"> - Đại Hội Đồng Cổ Đông Công Ty CP Vinaconex Sài Gòn</w:t>
      </w:r>
    </w:p>
    <w:p w:rsidR="00BB6A11" w:rsidRPr="00F064F8" w:rsidRDefault="00BB6A11" w:rsidP="00BB6A11">
      <w:pPr>
        <w:jc w:val="both"/>
        <w:rPr>
          <w:b w:val="0"/>
          <w:i/>
        </w:rPr>
      </w:pPr>
    </w:p>
    <w:p w:rsidR="00BB6A11" w:rsidRPr="00BB6A11" w:rsidRDefault="00BB6A11" w:rsidP="00BB6A11">
      <w:pPr>
        <w:pStyle w:val="ListParagraph"/>
        <w:numPr>
          <w:ilvl w:val="0"/>
          <w:numId w:val="1"/>
        </w:numPr>
        <w:ind w:hanging="540"/>
        <w:jc w:val="both"/>
        <w:rPr>
          <w:b w:val="0"/>
          <w:i/>
        </w:rPr>
      </w:pPr>
      <w:r w:rsidRPr="00F064F8">
        <w:rPr>
          <w:b w:val="0"/>
          <w:i/>
        </w:rPr>
        <w:t xml:space="preserve">Căn cứ Luật doanh nghiệp </w:t>
      </w:r>
      <w:r>
        <w:rPr>
          <w:b w:val="0"/>
          <w:i/>
        </w:rPr>
        <w:t>số: 68/2014/QH13 ngày 26/11/2014</w:t>
      </w:r>
      <w:r w:rsidRPr="00BB6A11">
        <w:rPr>
          <w:b w:val="0"/>
          <w:i/>
        </w:rPr>
        <w:t xml:space="preserve"> của nước CHXHCN Việt Nam và các văn bản hướng dẫn thi hành</w:t>
      </w:r>
      <w:r>
        <w:rPr>
          <w:b w:val="0"/>
          <w:i/>
        </w:rPr>
        <w:t>;</w:t>
      </w:r>
    </w:p>
    <w:p w:rsidR="00BB6A11" w:rsidRDefault="00BB6A11" w:rsidP="00BB6A11">
      <w:pPr>
        <w:pStyle w:val="ListParagraph"/>
        <w:numPr>
          <w:ilvl w:val="0"/>
          <w:numId w:val="1"/>
        </w:numPr>
        <w:ind w:hanging="540"/>
        <w:jc w:val="both"/>
        <w:rPr>
          <w:b w:val="0"/>
          <w:i/>
        </w:rPr>
      </w:pPr>
      <w:r>
        <w:rPr>
          <w:b w:val="0"/>
          <w:i/>
        </w:rPr>
        <w:t>Căn cứ Điều lệ tổ chức và hoạt động của Công ty CP Vinaconex Sài Gòn được Đại hội đồng cổ đông Công ty thông qua ngày 20/04/2011;</w:t>
      </w:r>
    </w:p>
    <w:p w:rsidR="00BB6A11" w:rsidRDefault="00BB6A11" w:rsidP="00BB6A11">
      <w:pPr>
        <w:pStyle w:val="ListParagraph"/>
        <w:numPr>
          <w:ilvl w:val="0"/>
          <w:numId w:val="1"/>
        </w:numPr>
        <w:ind w:hanging="540"/>
        <w:jc w:val="both"/>
        <w:rPr>
          <w:b w:val="0"/>
          <w:i/>
        </w:rPr>
      </w:pPr>
      <w:r>
        <w:rPr>
          <w:b w:val="0"/>
          <w:i/>
        </w:rPr>
        <w:t>Căn cứ tình hình thực tế hoạt động SXKD của Công ty CP Vinaconex Sài Gòn;</w:t>
      </w:r>
    </w:p>
    <w:p w:rsidR="00BB6A11" w:rsidRDefault="00BB6A11" w:rsidP="00BB6A11">
      <w:pPr>
        <w:pStyle w:val="ListParagraph"/>
        <w:jc w:val="both"/>
        <w:rPr>
          <w:b w:val="0"/>
          <w:i/>
        </w:rPr>
      </w:pPr>
    </w:p>
    <w:p w:rsidR="002604DE" w:rsidRDefault="00BB6A11" w:rsidP="0038276F">
      <w:pPr>
        <w:pStyle w:val="ListParagraph"/>
        <w:spacing w:line="360" w:lineRule="exact"/>
        <w:ind w:left="180" w:firstLine="540"/>
        <w:jc w:val="both"/>
        <w:rPr>
          <w:b w:val="0"/>
          <w:sz w:val="28"/>
          <w:szCs w:val="28"/>
        </w:rPr>
      </w:pPr>
      <w:r>
        <w:rPr>
          <w:b w:val="0"/>
          <w:sz w:val="28"/>
          <w:szCs w:val="28"/>
        </w:rPr>
        <w:t>Căn cứ quy định của pháp luật hiện hành và yêu cầu thực tiễn nhằm tạo điều kiện thuận lợi cho quá trình tổ chức và hoạt động của Công ty CP Vinaconex Sài Gòn</w:t>
      </w:r>
      <w:r w:rsidR="00643E01">
        <w:rPr>
          <w:b w:val="0"/>
          <w:sz w:val="28"/>
          <w:szCs w:val="28"/>
        </w:rPr>
        <w:t>,</w:t>
      </w:r>
      <w:r w:rsidR="002604DE">
        <w:rPr>
          <w:b w:val="0"/>
          <w:sz w:val="28"/>
          <w:szCs w:val="28"/>
        </w:rPr>
        <w:t xml:space="preserve"> trên cơ sở bảo đảm quyền lợi của cổ đông và phù hợp với các quy định của pháp luật</w:t>
      </w:r>
      <w:r>
        <w:rPr>
          <w:b w:val="0"/>
          <w:sz w:val="28"/>
          <w:szCs w:val="28"/>
        </w:rPr>
        <w:t xml:space="preserve">. </w:t>
      </w:r>
      <w:r w:rsidR="007905FE">
        <w:rPr>
          <w:b w:val="0"/>
          <w:sz w:val="28"/>
          <w:szCs w:val="28"/>
        </w:rPr>
        <w:t xml:space="preserve"> </w:t>
      </w:r>
    </w:p>
    <w:p w:rsidR="002604DE" w:rsidRDefault="00BB6A11" w:rsidP="0038276F">
      <w:pPr>
        <w:pStyle w:val="ListParagraph"/>
        <w:spacing w:line="360" w:lineRule="exact"/>
        <w:ind w:left="180" w:firstLine="540"/>
        <w:jc w:val="both"/>
        <w:rPr>
          <w:b w:val="0"/>
          <w:sz w:val="28"/>
          <w:szCs w:val="28"/>
        </w:rPr>
      </w:pPr>
      <w:r>
        <w:rPr>
          <w:b w:val="0"/>
          <w:sz w:val="28"/>
          <w:szCs w:val="28"/>
        </w:rPr>
        <w:t>Hội đồng quản trị Công ty</w:t>
      </w:r>
      <w:r w:rsidR="00E805BF">
        <w:rPr>
          <w:b w:val="0"/>
          <w:sz w:val="28"/>
          <w:szCs w:val="28"/>
        </w:rPr>
        <w:t xml:space="preserve"> </w:t>
      </w:r>
      <w:r w:rsidR="002604DE">
        <w:rPr>
          <w:b w:val="0"/>
          <w:sz w:val="28"/>
          <w:szCs w:val="28"/>
        </w:rPr>
        <w:t>đã</w:t>
      </w:r>
      <w:r w:rsidR="00CC4BDB">
        <w:rPr>
          <w:b w:val="0"/>
          <w:sz w:val="28"/>
          <w:szCs w:val="28"/>
        </w:rPr>
        <w:t xml:space="preserve"> tiến hành </w:t>
      </w:r>
      <w:r w:rsidR="002604DE">
        <w:rPr>
          <w:b w:val="0"/>
          <w:sz w:val="28"/>
          <w:szCs w:val="28"/>
        </w:rPr>
        <w:t xml:space="preserve">rà soát, </w:t>
      </w:r>
      <w:r w:rsidR="00CC4BDB">
        <w:rPr>
          <w:b w:val="0"/>
          <w:sz w:val="28"/>
          <w:szCs w:val="28"/>
        </w:rPr>
        <w:t xml:space="preserve">sửa đổi, bổ sung </w:t>
      </w:r>
      <w:r w:rsidR="002604DE">
        <w:rPr>
          <w:b w:val="0"/>
          <w:sz w:val="28"/>
          <w:szCs w:val="28"/>
        </w:rPr>
        <w:t>một số thuật ngữ, nội dung Điều lệ theo luật Doanh nghiệp 2014, Luậ</w:t>
      </w:r>
      <w:r w:rsidR="00643E01">
        <w:rPr>
          <w:b w:val="0"/>
          <w:sz w:val="28"/>
          <w:szCs w:val="28"/>
        </w:rPr>
        <w:t>t chứng</w:t>
      </w:r>
      <w:r w:rsidR="002604DE">
        <w:rPr>
          <w:b w:val="0"/>
          <w:sz w:val="28"/>
          <w:szCs w:val="28"/>
        </w:rPr>
        <w:t xml:space="preserve"> khoán 2006, các văn bản sửa đổi bổ sung của Luật chứ</w:t>
      </w:r>
      <w:r w:rsidR="00643E01">
        <w:rPr>
          <w:b w:val="0"/>
          <w:sz w:val="28"/>
          <w:szCs w:val="28"/>
        </w:rPr>
        <w:t xml:space="preserve">ng khoán 2006 và </w:t>
      </w:r>
      <w:r w:rsidR="002604DE">
        <w:rPr>
          <w:b w:val="0"/>
          <w:sz w:val="28"/>
          <w:szCs w:val="28"/>
        </w:rPr>
        <w:t>các văn bản pháp luậ</w:t>
      </w:r>
      <w:r w:rsidR="00643E01">
        <w:rPr>
          <w:b w:val="0"/>
          <w:sz w:val="28"/>
          <w:szCs w:val="28"/>
        </w:rPr>
        <w:t xml:space="preserve">t có liên quan, </w:t>
      </w:r>
      <w:r w:rsidR="002604DE">
        <w:rPr>
          <w:b w:val="0"/>
          <w:sz w:val="28"/>
          <w:szCs w:val="28"/>
        </w:rPr>
        <w:t>phù hợp với tình hình thực tế của Công ty. (</w:t>
      </w:r>
      <w:r w:rsidR="002604DE" w:rsidRPr="00CC4BDB">
        <w:rPr>
          <w:b w:val="0"/>
          <w:i/>
          <w:sz w:val="28"/>
          <w:szCs w:val="28"/>
        </w:rPr>
        <w:t>Các nội dung cụ thể theo Phụ lục chi tiết các nội dung sửa đổi bổ sung đính kèm</w:t>
      </w:r>
      <w:r w:rsidR="002604DE">
        <w:rPr>
          <w:b w:val="0"/>
          <w:sz w:val="28"/>
          <w:szCs w:val="28"/>
        </w:rPr>
        <w:t>).</w:t>
      </w:r>
    </w:p>
    <w:p w:rsidR="002604DE" w:rsidRDefault="002604DE" w:rsidP="0038276F">
      <w:pPr>
        <w:pStyle w:val="ListParagraph"/>
        <w:spacing w:line="360" w:lineRule="exact"/>
        <w:ind w:left="180" w:firstLine="540"/>
        <w:jc w:val="both"/>
        <w:rPr>
          <w:b w:val="0"/>
          <w:sz w:val="28"/>
          <w:szCs w:val="28"/>
        </w:rPr>
      </w:pPr>
      <w:r>
        <w:rPr>
          <w:b w:val="0"/>
          <w:sz w:val="28"/>
          <w:szCs w:val="28"/>
        </w:rPr>
        <w:t xml:space="preserve">Bằng tờ trình này, HĐQT kính trình </w:t>
      </w:r>
      <w:r w:rsidR="00E805BF">
        <w:rPr>
          <w:b w:val="0"/>
          <w:sz w:val="28"/>
          <w:szCs w:val="28"/>
        </w:rPr>
        <w:t>Đại hội đồng cổ đông xem xét, thông qua</w:t>
      </w:r>
      <w:r>
        <w:rPr>
          <w:b w:val="0"/>
          <w:sz w:val="28"/>
          <w:szCs w:val="28"/>
        </w:rPr>
        <w:t>:</w:t>
      </w:r>
      <w:r w:rsidR="00E805BF">
        <w:rPr>
          <w:b w:val="0"/>
          <w:sz w:val="28"/>
          <w:szCs w:val="28"/>
        </w:rPr>
        <w:t xml:space="preserve"> </w:t>
      </w:r>
      <w:r>
        <w:rPr>
          <w:b w:val="0"/>
          <w:sz w:val="28"/>
          <w:szCs w:val="28"/>
        </w:rPr>
        <w:t xml:space="preserve">    </w:t>
      </w:r>
    </w:p>
    <w:p w:rsidR="00BB6A11" w:rsidRDefault="002604DE" w:rsidP="0038276F">
      <w:pPr>
        <w:pStyle w:val="ListParagraph"/>
        <w:spacing w:line="360" w:lineRule="exact"/>
        <w:ind w:left="180" w:firstLine="540"/>
        <w:jc w:val="both"/>
        <w:rPr>
          <w:b w:val="0"/>
          <w:sz w:val="28"/>
          <w:szCs w:val="28"/>
        </w:rPr>
      </w:pPr>
      <w:r>
        <w:rPr>
          <w:b w:val="0"/>
          <w:sz w:val="28"/>
          <w:szCs w:val="28"/>
        </w:rPr>
        <w:t>1. Bản dự thảo sử</w:t>
      </w:r>
      <w:r w:rsidR="00FA0773">
        <w:rPr>
          <w:b w:val="0"/>
          <w:sz w:val="28"/>
          <w:szCs w:val="28"/>
        </w:rPr>
        <w:t xml:space="preserve">a </w:t>
      </w:r>
      <w:r>
        <w:rPr>
          <w:b w:val="0"/>
          <w:sz w:val="28"/>
          <w:szCs w:val="28"/>
        </w:rPr>
        <w:t>đổi</w:t>
      </w:r>
      <w:r w:rsidR="00FA0773">
        <w:rPr>
          <w:b w:val="0"/>
          <w:sz w:val="28"/>
          <w:szCs w:val="28"/>
        </w:rPr>
        <w:t>,</w:t>
      </w:r>
      <w:r>
        <w:rPr>
          <w:b w:val="0"/>
          <w:sz w:val="28"/>
          <w:szCs w:val="28"/>
        </w:rPr>
        <w:t xml:space="preserve"> bổ sung Điều lệ </w:t>
      </w:r>
      <w:r w:rsidRPr="002604DE">
        <w:rPr>
          <w:b w:val="0"/>
          <w:i/>
          <w:sz w:val="28"/>
          <w:szCs w:val="28"/>
        </w:rPr>
        <w:t>(Đính kèm</w:t>
      </w:r>
      <w:r>
        <w:rPr>
          <w:b w:val="0"/>
          <w:sz w:val="28"/>
          <w:szCs w:val="28"/>
        </w:rPr>
        <w:t>).</w:t>
      </w:r>
    </w:p>
    <w:p w:rsidR="002604DE" w:rsidRPr="002604DE" w:rsidRDefault="002604DE" w:rsidP="0038276F">
      <w:pPr>
        <w:pStyle w:val="ListParagraph"/>
        <w:spacing w:line="360" w:lineRule="exact"/>
        <w:ind w:left="180" w:firstLine="540"/>
        <w:jc w:val="both"/>
        <w:rPr>
          <w:b w:val="0"/>
          <w:sz w:val="28"/>
          <w:szCs w:val="28"/>
        </w:rPr>
      </w:pPr>
      <w:r w:rsidRPr="00CC4BDB">
        <w:rPr>
          <w:b w:val="0"/>
          <w:sz w:val="28"/>
          <w:szCs w:val="28"/>
        </w:rPr>
        <w:t>Điều lệ sửa đổi bổ sung này có hiệu lực kể từ ngày được ĐHĐCĐ thông qua và thay thế bản Điều lệ</w:t>
      </w:r>
      <w:r>
        <w:rPr>
          <w:b w:val="0"/>
          <w:sz w:val="28"/>
          <w:szCs w:val="28"/>
        </w:rPr>
        <w:t xml:space="preserve"> đã được ĐHĐCĐ thông qua tại kỳ họp thường niên ngày 20/04/2011.</w:t>
      </w:r>
      <w:r w:rsidRPr="00CC4BDB">
        <w:rPr>
          <w:b w:val="0"/>
          <w:sz w:val="28"/>
          <w:szCs w:val="28"/>
        </w:rPr>
        <w:t xml:space="preserve"> </w:t>
      </w:r>
    </w:p>
    <w:p w:rsidR="00CC4BDB" w:rsidRDefault="002604DE" w:rsidP="0038276F">
      <w:pPr>
        <w:pStyle w:val="ListParagraph"/>
        <w:spacing w:line="360" w:lineRule="exact"/>
        <w:ind w:left="180"/>
        <w:jc w:val="both"/>
        <w:rPr>
          <w:b w:val="0"/>
          <w:sz w:val="28"/>
          <w:szCs w:val="28"/>
        </w:rPr>
      </w:pPr>
      <w:r>
        <w:rPr>
          <w:b w:val="0"/>
          <w:sz w:val="28"/>
          <w:szCs w:val="28"/>
        </w:rPr>
        <w:t xml:space="preserve">        2. </w:t>
      </w:r>
      <w:r w:rsidR="007905FE" w:rsidRPr="00CC4BDB">
        <w:rPr>
          <w:b w:val="0"/>
          <w:sz w:val="28"/>
          <w:szCs w:val="28"/>
        </w:rPr>
        <w:t>G</w:t>
      </w:r>
      <w:r w:rsidR="00DA7CBD" w:rsidRPr="00CC4BDB">
        <w:rPr>
          <w:b w:val="0"/>
          <w:sz w:val="28"/>
          <w:szCs w:val="28"/>
        </w:rPr>
        <w:t xml:space="preserve">iao nhiệm vụ cho </w:t>
      </w:r>
      <w:r w:rsidR="0038276F">
        <w:rPr>
          <w:b w:val="0"/>
          <w:sz w:val="28"/>
          <w:szCs w:val="28"/>
        </w:rPr>
        <w:t>Ban điều hành Công ty</w:t>
      </w:r>
      <w:r w:rsidR="00DA7CBD" w:rsidRPr="00CC4BDB">
        <w:rPr>
          <w:b w:val="0"/>
          <w:sz w:val="28"/>
          <w:szCs w:val="28"/>
        </w:rPr>
        <w:t xml:space="preserve"> thực hiện việc đăng ký hoặc gửi Điều lệ</w:t>
      </w:r>
      <w:r w:rsidR="007905FE" w:rsidRPr="00CC4BDB">
        <w:rPr>
          <w:b w:val="0"/>
          <w:sz w:val="28"/>
          <w:szCs w:val="28"/>
        </w:rPr>
        <w:t xml:space="preserve"> đã sửa đổi bổ sung tới các cơ quan có thẩm quyền theo quy định. </w:t>
      </w:r>
    </w:p>
    <w:p w:rsidR="00BB6A11" w:rsidRPr="00832497" w:rsidRDefault="00CC4BDB" w:rsidP="0038276F">
      <w:pPr>
        <w:pStyle w:val="ListParagraph"/>
        <w:spacing w:line="360" w:lineRule="exact"/>
        <w:ind w:left="180" w:firstLine="540"/>
        <w:jc w:val="both"/>
        <w:rPr>
          <w:b w:val="0"/>
          <w:sz w:val="28"/>
          <w:szCs w:val="28"/>
        </w:rPr>
      </w:pPr>
      <w:r>
        <w:rPr>
          <w:b w:val="0"/>
          <w:sz w:val="28"/>
          <w:szCs w:val="28"/>
        </w:rPr>
        <w:t>HĐQT Công ty k</w:t>
      </w:r>
      <w:r w:rsidR="00BB6A11" w:rsidRPr="00832497">
        <w:rPr>
          <w:b w:val="0"/>
          <w:sz w:val="28"/>
          <w:szCs w:val="28"/>
        </w:rPr>
        <w:t xml:space="preserve">ính trình Đại hội đồng cổ đông xem xét </w:t>
      </w:r>
      <w:r w:rsidR="00BB6A11">
        <w:rPr>
          <w:b w:val="0"/>
          <w:sz w:val="28"/>
          <w:szCs w:val="28"/>
        </w:rPr>
        <w:t>thông qua.</w:t>
      </w:r>
    </w:p>
    <w:p w:rsidR="00BB6A11" w:rsidRPr="0038276F" w:rsidRDefault="00BB6A11" w:rsidP="0038276F">
      <w:pPr>
        <w:pStyle w:val="ListParagraph"/>
        <w:spacing w:line="360" w:lineRule="exact"/>
        <w:jc w:val="both"/>
        <w:rPr>
          <w:b w:val="0"/>
          <w:sz w:val="28"/>
          <w:szCs w:val="28"/>
        </w:rPr>
      </w:pPr>
      <w:r w:rsidRPr="00832497">
        <w:rPr>
          <w:b w:val="0"/>
          <w:sz w:val="28"/>
          <w:szCs w:val="28"/>
        </w:rPr>
        <w:t>Trân Trọng.</w:t>
      </w:r>
    </w:p>
    <w:p w:rsidR="00BB6A11" w:rsidRDefault="00BB6A11" w:rsidP="00BB6A11">
      <w:pPr>
        <w:pStyle w:val="ListParagraph"/>
        <w:jc w:val="both"/>
      </w:pPr>
      <w:r>
        <w:t xml:space="preserve">                                                                             </w:t>
      </w:r>
      <w:r w:rsidRPr="00F064F8">
        <w:t>TM. HỘI ĐỒNG QUẢN TRỊ</w:t>
      </w:r>
    </w:p>
    <w:p w:rsidR="00BB6A11" w:rsidRDefault="00BB6A11" w:rsidP="00BB6A11">
      <w:pPr>
        <w:pStyle w:val="ListParagraph"/>
        <w:jc w:val="both"/>
      </w:pPr>
      <w:r>
        <w:t xml:space="preserve">                                                                                            CHỦ TỊCH</w:t>
      </w:r>
    </w:p>
    <w:p w:rsidR="00BB6A11" w:rsidRDefault="00BB6A11" w:rsidP="00BB6A11">
      <w:pPr>
        <w:pStyle w:val="ListParagraph"/>
        <w:jc w:val="both"/>
      </w:pPr>
    </w:p>
    <w:p w:rsidR="00BB6A11" w:rsidRDefault="00BB6A11" w:rsidP="00BB6A11">
      <w:pPr>
        <w:pStyle w:val="ListParagraph"/>
        <w:jc w:val="both"/>
      </w:pPr>
    </w:p>
    <w:p w:rsidR="00BB6A11" w:rsidRDefault="00643E01" w:rsidP="00643E01">
      <w:pPr>
        <w:pStyle w:val="ListParagraph"/>
        <w:jc w:val="both"/>
      </w:pPr>
      <w:r>
        <w:t xml:space="preserve">                                                                                                 (Đã ký)</w:t>
      </w:r>
    </w:p>
    <w:p w:rsidR="0093465A" w:rsidRDefault="00BB6A11" w:rsidP="00CC4BDB">
      <w:pPr>
        <w:pStyle w:val="ListParagraph"/>
        <w:jc w:val="both"/>
      </w:pPr>
      <w:r>
        <w:t xml:space="preserve">                                                                                     DƯƠNG VĂN MẬU</w:t>
      </w:r>
    </w:p>
    <w:sectPr w:rsidR="0093465A" w:rsidSect="0038276F">
      <w:pgSz w:w="11909" w:h="16834" w:code="9"/>
      <w:pgMar w:top="1135" w:right="1134" w:bottom="567" w:left="108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8507A"/>
    <w:multiLevelType w:val="hybridMultilevel"/>
    <w:tmpl w:val="A440B422"/>
    <w:lvl w:ilvl="0" w:tplc="3E2468D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BB6A11"/>
    <w:rsid w:val="0017466C"/>
    <w:rsid w:val="00235F72"/>
    <w:rsid w:val="002604DE"/>
    <w:rsid w:val="0038276F"/>
    <w:rsid w:val="0041525F"/>
    <w:rsid w:val="00585568"/>
    <w:rsid w:val="00643E01"/>
    <w:rsid w:val="0067719F"/>
    <w:rsid w:val="006D7465"/>
    <w:rsid w:val="007905FE"/>
    <w:rsid w:val="007B21FE"/>
    <w:rsid w:val="007C474C"/>
    <w:rsid w:val="008F29CB"/>
    <w:rsid w:val="0093465A"/>
    <w:rsid w:val="009D5AA5"/>
    <w:rsid w:val="00A06880"/>
    <w:rsid w:val="00A87EF0"/>
    <w:rsid w:val="00BB6A11"/>
    <w:rsid w:val="00C7127D"/>
    <w:rsid w:val="00CC4BDB"/>
    <w:rsid w:val="00DA7CBD"/>
    <w:rsid w:val="00DB7386"/>
    <w:rsid w:val="00E805BF"/>
    <w:rsid w:val="00F63AF6"/>
    <w:rsid w:val="00FA07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A11"/>
    <w:pPr>
      <w:spacing w:line="276" w:lineRule="auto"/>
      <w:jc w:val="center"/>
    </w:pPr>
    <w:rPr>
      <w:rFonts w:ascii="Times New Roman" w:eastAsia="Calibri"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A11"/>
    <w:pPr>
      <w:ind w:left="720"/>
      <w:contextualSpacing/>
    </w:pPr>
  </w:style>
</w:styles>
</file>

<file path=word/webSettings.xml><?xml version="1.0" encoding="utf-8"?>
<w:webSettings xmlns:r="http://schemas.openxmlformats.org/officeDocument/2006/relationships" xmlns:w="http://schemas.openxmlformats.org/wordprocessingml/2006/main">
  <w:divs>
    <w:div w:id="16936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 Nang</dc:creator>
  <cp:lastModifiedBy>Phi Nang</cp:lastModifiedBy>
  <cp:revision>6</cp:revision>
  <cp:lastPrinted>2017-04-10T08:07:00Z</cp:lastPrinted>
  <dcterms:created xsi:type="dcterms:W3CDTF">2017-03-07T09:26:00Z</dcterms:created>
  <dcterms:modified xsi:type="dcterms:W3CDTF">2017-04-10T08:09:00Z</dcterms:modified>
</cp:coreProperties>
</file>